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8AB" w:rsidRPr="009112BB" w:rsidRDefault="00042B9A" w:rsidP="001D4A9A">
      <w:pPr>
        <w:adjustRightInd/>
        <w:snapToGrid/>
        <w:spacing w:after="0"/>
        <w:contextualSpacing/>
        <w:mirrorIndents/>
        <w:jc w:val="center"/>
        <w:rPr>
          <w:rFonts w:asciiTheme="majorEastAsia" w:eastAsiaTheme="majorEastAsia" w:hAnsiTheme="majorEastAsia"/>
          <w:b/>
          <w:sz w:val="30"/>
          <w:szCs w:val="30"/>
        </w:rPr>
      </w:pPr>
      <w:r w:rsidRPr="009112BB">
        <w:rPr>
          <w:rFonts w:asciiTheme="majorEastAsia" w:eastAsiaTheme="majorEastAsia" w:hAnsiTheme="majorEastAsia" w:hint="eastAsia"/>
          <w:b/>
          <w:sz w:val="30"/>
          <w:szCs w:val="30"/>
        </w:rPr>
        <w:t>访谈法</w:t>
      </w:r>
    </w:p>
    <w:p w:rsidR="00042B9A" w:rsidRPr="009112BB" w:rsidRDefault="00042B9A" w:rsidP="001D4A9A">
      <w:pPr>
        <w:pStyle w:val="a5"/>
        <w:numPr>
          <w:ilvl w:val="0"/>
          <w:numId w:val="1"/>
        </w:numPr>
        <w:adjustRightInd/>
        <w:snapToGrid/>
        <w:spacing w:after="0"/>
        <w:ind w:firstLineChars="0"/>
        <w:contextualSpacing/>
        <w:mirrorIndents/>
        <w:rPr>
          <w:rFonts w:asciiTheme="majorEastAsia" w:eastAsiaTheme="majorEastAsia" w:hAnsiTheme="majorEastAsia"/>
          <w:b/>
          <w:sz w:val="24"/>
          <w:szCs w:val="24"/>
        </w:rPr>
      </w:pPr>
      <w:r w:rsidRPr="009112BB">
        <w:rPr>
          <w:rFonts w:asciiTheme="majorEastAsia" w:eastAsiaTheme="majorEastAsia" w:hAnsiTheme="majorEastAsia" w:hint="eastAsia"/>
          <w:b/>
          <w:sz w:val="24"/>
          <w:szCs w:val="24"/>
        </w:rPr>
        <w:t>概念</w:t>
      </w:r>
    </w:p>
    <w:p w:rsidR="00042B9A" w:rsidRPr="009112BB" w:rsidRDefault="00042B9A" w:rsidP="001D4A9A">
      <w:pPr>
        <w:adjustRightInd/>
        <w:snapToGrid/>
        <w:spacing w:after="0"/>
        <w:ind w:firstLineChars="150" w:firstLine="36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访谈法是由访谈者根据调查研究所确定的要求与目的，按照访谈提纲或问卷，通过个别访问或集体交谈的方式，系统而有计划地收集资料的一种调查方法 。</w:t>
      </w:r>
    </w:p>
    <w:p w:rsidR="00042B9A" w:rsidRPr="009112BB" w:rsidRDefault="00042B9A" w:rsidP="001D4A9A">
      <w:pPr>
        <w:adjustRightInd/>
        <w:snapToGrid/>
        <w:spacing w:after="0"/>
        <w:ind w:firstLineChars="150" w:firstLine="36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访谈与日常谈话的区别？</w:t>
      </w:r>
    </w:p>
    <w:p w:rsidR="000A48EF" w:rsidRPr="009112BB" w:rsidRDefault="000A48EF" w:rsidP="001D4A9A">
      <w:pPr>
        <w:pStyle w:val="a5"/>
        <w:numPr>
          <w:ilvl w:val="0"/>
          <w:numId w:val="1"/>
        </w:numPr>
        <w:adjustRightInd/>
        <w:snapToGrid/>
        <w:spacing w:after="0"/>
        <w:ind w:firstLineChars="0"/>
        <w:contextualSpacing/>
        <w:mirrorIndents/>
        <w:rPr>
          <w:rFonts w:asciiTheme="majorEastAsia" w:eastAsiaTheme="majorEastAsia" w:hAnsiTheme="majorEastAsia"/>
          <w:b/>
          <w:sz w:val="24"/>
          <w:szCs w:val="24"/>
        </w:rPr>
      </w:pPr>
      <w:r w:rsidRPr="009112BB">
        <w:rPr>
          <w:rFonts w:asciiTheme="majorEastAsia" w:eastAsiaTheme="majorEastAsia" w:hAnsiTheme="majorEastAsia" w:hint="eastAsia"/>
          <w:b/>
          <w:sz w:val="24"/>
          <w:szCs w:val="24"/>
        </w:rPr>
        <w:t>优缺点</w:t>
      </w:r>
      <w:r w:rsidR="009112BB" w:rsidRPr="009112BB">
        <w:rPr>
          <w:rFonts w:asciiTheme="majorEastAsia" w:eastAsiaTheme="majorEastAsia" w:hAnsiTheme="majorEastAsia" w:hint="eastAsia"/>
          <w:b/>
          <w:sz w:val="24"/>
          <w:szCs w:val="24"/>
        </w:rPr>
        <w:t>（适用范围）</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hint="eastAsia"/>
          <w:b/>
          <w:sz w:val="24"/>
          <w:szCs w:val="24"/>
        </w:rPr>
        <w:t xml:space="preserve">优点 </w:t>
      </w:r>
      <w:r w:rsidRPr="009112BB">
        <w:rPr>
          <w:rFonts w:asciiTheme="majorEastAsia" w:eastAsiaTheme="majorEastAsia" w:hAnsiTheme="majorEastAsia" w:hint="eastAsia"/>
          <w:sz w:val="24"/>
          <w:szCs w:val="24"/>
        </w:rPr>
        <w:t xml:space="preserve"> </w:t>
      </w:r>
      <w:r w:rsidRPr="009112BB">
        <w:rPr>
          <w:rFonts w:asciiTheme="majorEastAsia" w:eastAsiaTheme="majorEastAsia" w:hAnsiTheme="majorEastAsia" w:cs="Arial"/>
          <w:bCs/>
          <w:color w:val="333333"/>
          <w:sz w:val="24"/>
          <w:szCs w:val="24"/>
        </w:rPr>
        <w:t>1.灵活</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(1)访谈调查是访谈员以口头形式，向被访者提出有关问题，通过被访者的答复来收集客观事实材料</w:t>
      </w:r>
      <w:r w:rsidR="00FD384C">
        <w:rPr>
          <w:rFonts w:asciiTheme="majorEastAsia" w:eastAsiaTheme="majorEastAsia" w:hAnsiTheme="majorEastAsia" w:cs="Arial" w:hint="eastAsia"/>
          <w:color w:val="333333"/>
          <w:sz w:val="24"/>
          <w:szCs w:val="24"/>
        </w:rPr>
        <w:t>,</w:t>
      </w:r>
      <w:r w:rsidRPr="009112BB">
        <w:rPr>
          <w:rFonts w:asciiTheme="majorEastAsia" w:eastAsiaTheme="majorEastAsia" w:hAnsiTheme="majorEastAsia" w:cs="Arial"/>
          <w:color w:val="333333"/>
          <w:sz w:val="24"/>
          <w:szCs w:val="24"/>
        </w:rPr>
        <w:t xml:space="preserve">可以按照研究的需要向不同类型的人了解不同类型的材料。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009112BB">
        <w:rPr>
          <w:rFonts w:asciiTheme="majorEastAsia" w:eastAsiaTheme="majorEastAsia" w:hAnsiTheme="majorEastAsia" w:cs="Arial" w:hint="eastAsia"/>
          <w:color w:val="333333"/>
          <w:sz w:val="24"/>
          <w:szCs w:val="24"/>
        </w:rPr>
        <w:t xml:space="preserve"> </w:t>
      </w:r>
      <w:r w:rsidRPr="009112BB">
        <w:rPr>
          <w:rFonts w:asciiTheme="majorEastAsia" w:eastAsiaTheme="majorEastAsia" w:hAnsiTheme="majorEastAsia" w:cs="Arial"/>
          <w:color w:val="333333"/>
          <w:sz w:val="24"/>
          <w:szCs w:val="24"/>
        </w:rPr>
        <w:t>(2)访谈调查是访谈员与被访者双方交流、，</w:t>
      </w:r>
      <w:hyperlink r:id="rId8" w:tooltip="双向沟通" w:history="1">
        <w:r w:rsidRPr="009112BB">
          <w:rPr>
            <w:rFonts w:asciiTheme="majorEastAsia" w:eastAsiaTheme="majorEastAsia" w:hAnsiTheme="majorEastAsia" w:cs="Arial"/>
            <w:sz w:val="24"/>
            <w:szCs w:val="24"/>
          </w:rPr>
          <w:t>双向沟通</w:t>
        </w:r>
      </w:hyperlink>
      <w:r w:rsidRPr="009112BB">
        <w:rPr>
          <w:rFonts w:asciiTheme="majorEastAsia" w:eastAsiaTheme="majorEastAsia" w:hAnsiTheme="majorEastAsia" w:cs="Arial"/>
          <w:color w:val="333333"/>
          <w:sz w:val="24"/>
          <w:szCs w:val="24"/>
        </w:rPr>
        <w:t xml:space="preserve">的过程。这种方式具有较大的弹性，访谈员在事先设计调查问题时，是根据一般情况和主观想法制定的，有些情况不一定考虑十分周全，在访谈中，可以根据被访者的反映，对调查问题作调整或展开。如果被访者不理解问题，可以提出询问，要求解释；如果访谈员发现被访者误解问题也可以适时地解说或引导。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2.准确</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(1)访谈调查是访谈员与被访者直接进行交流，可以通过访谈员的努力，使被访者消除顾虑，放松心情，作周密思考后再回答问题，这样就提高了调查材料的真实性和</w:t>
      </w:r>
      <w:hyperlink r:id="rId9" w:tooltip="可靠性" w:history="1">
        <w:r w:rsidRPr="009112BB">
          <w:rPr>
            <w:rFonts w:asciiTheme="majorEastAsia" w:eastAsiaTheme="majorEastAsia" w:hAnsiTheme="majorEastAsia" w:cs="Arial"/>
            <w:sz w:val="24"/>
            <w:szCs w:val="24"/>
          </w:rPr>
          <w:t>可靠性</w:t>
        </w:r>
      </w:hyperlink>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(2)访谈调查事先确定访谈现场，访谈员可以适当地控制访谈环境，避免其他因素的干扰，灵活安排访谈时间和内容，控制提问的次序和谈话节奏，把握访谈过程的主动权，这有利于被访者能更客观地回答访谈问题。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(3)由于访谈流程速度较快，被访者在回答问题时常常无法进行长时间的思考，因此所获得的回答往往是被访者自发性的反应，这种回答较真实、可靠，很少掩饰或作假。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(4)由于访谈常常是面对面的交谈，因此拒绝回答者较少，回答率较高。即使被访者拒绝回答某些问题，也可大致了解他对这个问题的态度。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3.深入</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(1)访谈员与被访者直接交往或通过电话、上网间接交往，具有适当解说、引导和追问的机会，因此可探讨较为复杂的问题，可获取新的、深层次的</w:t>
      </w:r>
      <w:hyperlink r:id="rId10" w:tooltip="信息" w:history="1">
        <w:r w:rsidRPr="00E44954">
          <w:rPr>
            <w:rFonts w:asciiTheme="majorEastAsia" w:eastAsiaTheme="majorEastAsia" w:hAnsiTheme="majorEastAsia" w:cs="Arial"/>
            <w:sz w:val="24"/>
            <w:szCs w:val="24"/>
          </w:rPr>
          <w:t>信息</w:t>
        </w:r>
      </w:hyperlink>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(2)在面对面的谈话过程中，访谈员不但要收集被访者的回答信息，还可以观察被访者的动作、表情等非言语行为，以此鉴别回答内容的真伪，被访者的心理状态。 </w:t>
      </w:r>
    </w:p>
    <w:p w:rsidR="000A48EF" w:rsidRPr="009112BB" w:rsidRDefault="000A48EF" w:rsidP="001D4A9A">
      <w:pPr>
        <w:adjustRightInd/>
        <w:snapToGrid/>
        <w:spacing w:after="0"/>
        <w:contextualSpacing/>
        <w:mirrorIndents/>
        <w:rPr>
          <w:rFonts w:asciiTheme="majorEastAsia" w:eastAsiaTheme="majorEastAsia" w:hAnsiTheme="majorEastAsia" w:cs="Arial"/>
          <w:b/>
          <w:bCs/>
          <w:color w:val="333333"/>
          <w:sz w:val="24"/>
          <w:szCs w:val="24"/>
        </w:rPr>
      </w:pPr>
      <w:r w:rsidRPr="009112BB">
        <w:rPr>
          <w:rFonts w:asciiTheme="majorEastAsia" w:eastAsiaTheme="majorEastAsia" w:hAnsiTheme="majorEastAsia" w:cs="Arial"/>
          <w:b/>
          <w:bCs/>
          <w:color w:val="333333"/>
          <w:sz w:val="24"/>
          <w:szCs w:val="24"/>
        </w:rPr>
        <w:t xml:space="preserve">局限 </w:t>
      </w:r>
      <w:r w:rsidRPr="009112BB">
        <w:rPr>
          <w:rFonts w:asciiTheme="majorEastAsia" w:eastAsiaTheme="majorEastAsia" w:hAnsiTheme="majorEastAsia" w:cs="Arial" w:hint="eastAsia"/>
          <w:b/>
          <w:bCs/>
          <w:color w:val="333333"/>
          <w:sz w:val="24"/>
          <w:szCs w:val="24"/>
        </w:rPr>
        <w:t xml:space="preserve">   </w:t>
      </w:r>
      <w:r w:rsidRPr="009112BB">
        <w:rPr>
          <w:rFonts w:asciiTheme="majorEastAsia" w:eastAsiaTheme="majorEastAsia" w:hAnsiTheme="majorEastAsia" w:cs="Arial"/>
          <w:bCs/>
          <w:color w:val="333333"/>
          <w:sz w:val="24"/>
          <w:szCs w:val="24"/>
        </w:rPr>
        <w:t>1.成本较高</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访谈调查常采用面对面的个别访问，面对面的交流必须寻找被访者，路上往返的时间往往超过访谈时间，调查中还会发生数访不遇或拒访，因此耗费时间和精力较多；另外较大规模的访谈常常需要训练一批访谈人员，这就使费用支出大大地增加。与问卷相比，访谈要付出更多的时间、人力和物力。由于访谈调查费用大、耗时多，故难以大规模进行，所以一般访谈调查样本较小。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2.缺乏隐秘性</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lastRenderedPageBreak/>
        <w:t xml:space="preserve">　　由于访谈调查要求被访者当面作答，这会使被访者感觉到缺乏隐秘性而产生顾虑，尤其对一些敏感的问题，往往会使被访者回避或不作真实的回答。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3.受访谈员影响大</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由于访谈调查是研究者单独的调查方式，不同的访谈员的个人特征，可能引起被访者的心理反应，从而影响回答内容；而且访谈双方往往是陌生人，也容易使被访者产生不信任感，以致影响访谈结果；另外，访谈员的</w:t>
      </w:r>
      <w:hyperlink r:id="rId11" w:tooltip="价值观" w:history="1">
        <w:r w:rsidRPr="009112BB">
          <w:rPr>
            <w:rFonts w:asciiTheme="majorEastAsia" w:eastAsiaTheme="majorEastAsia" w:hAnsiTheme="majorEastAsia" w:cs="Arial"/>
            <w:sz w:val="24"/>
            <w:szCs w:val="24"/>
          </w:rPr>
          <w:t>价值观</w:t>
        </w:r>
      </w:hyperlink>
      <w:r w:rsidRPr="009112BB">
        <w:rPr>
          <w:rFonts w:asciiTheme="majorEastAsia" w:eastAsiaTheme="majorEastAsia" w:hAnsiTheme="majorEastAsia" w:cs="Arial"/>
          <w:color w:val="333333"/>
          <w:sz w:val="24"/>
          <w:szCs w:val="24"/>
        </w:rPr>
        <w:t xml:space="preserve">、态度、谈话的水平都会影响被访者，造成访谈结果的偏差。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4.记录困难</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访谈调查是访谈双方进行的语言交流，如果被访者不同意用现场录音，对访谈员的笔录速度的要求就很高，而一般没有进行专门速记训练的访谈员，往往无法很完整地将谈话内容记录下来，追记和补记往往会遗漏很多信息。 </w:t>
      </w:r>
    </w:p>
    <w:p w:rsidR="000A48EF" w:rsidRPr="009112BB" w:rsidRDefault="000A48EF"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sidRPr="009112BB">
        <w:rPr>
          <w:rFonts w:asciiTheme="majorEastAsia" w:eastAsiaTheme="majorEastAsia" w:hAnsiTheme="majorEastAsia" w:cs="Arial"/>
          <w:bCs/>
          <w:color w:val="333333"/>
          <w:sz w:val="24"/>
          <w:szCs w:val="24"/>
        </w:rPr>
        <w:t>5.处理结果难</w:t>
      </w:r>
      <w:r w:rsidRPr="009112BB">
        <w:rPr>
          <w:rFonts w:asciiTheme="majorEastAsia" w:eastAsiaTheme="majorEastAsia" w:hAnsiTheme="majorEastAsia" w:cs="Arial"/>
          <w:color w:val="333333"/>
          <w:sz w:val="24"/>
          <w:szCs w:val="24"/>
        </w:rPr>
        <w:t xml:space="preserve"> </w:t>
      </w:r>
    </w:p>
    <w:p w:rsidR="000A48EF" w:rsidRPr="009112BB" w:rsidRDefault="000A48EF" w:rsidP="001D4A9A">
      <w:pPr>
        <w:adjustRightInd/>
        <w:snapToGrid/>
        <w:spacing w:after="0"/>
        <w:ind w:firstLine="39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访谈调查有灵活的一面，但同时也增加了这种调查过程的随意性。不同的被访者回答是多种多样的，没有统一的答案，这样，对访谈结果的处理和分析就比较复杂，由于标准化程度低，就难以作</w:t>
      </w:r>
      <w:hyperlink r:id="rId12" w:tooltip="定量分析" w:history="1">
        <w:r w:rsidRPr="009112BB">
          <w:rPr>
            <w:rFonts w:asciiTheme="majorEastAsia" w:eastAsiaTheme="majorEastAsia" w:hAnsiTheme="majorEastAsia" w:cs="Arial"/>
            <w:sz w:val="24"/>
            <w:szCs w:val="24"/>
          </w:rPr>
          <w:t>定量分析</w:t>
        </w:r>
      </w:hyperlink>
      <w:r w:rsidRPr="009112BB">
        <w:rPr>
          <w:rFonts w:asciiTheme="majorEastAsia" w:eastAsiaTheme="majorEastAsia" w:hAnsiTheme="majorEastAsia" w:cs="Arial"/>
          <w:color w:val="333333"/>
          <w:sz w:val="24"/>
          <w:szCs w:val="24"/>
        </w:rPr>
        <w:t xml:space="preserve">。 </w:t>
      </w:r>
    </w:p>
    <w:p w:rsidR="009112BB" w:rsidRPr="009112BB" w:rsidRDefault="009112BB" w:rsidP="001D4A9A">
      <w:pPr>
        <w:adjustRightInd/>
        <w:snapToGrid/>
        <w:spacing w:after="0"/>
        <w:contextualSpacing/>
        <w:mirrorIndents/>
        <w:rPr>
          <w:rFonts w:asciiTheme="majorEastAsia" w:eastAsiaTheme="majorEastAsia" w:hAnsiTheme="majorEastAsia" w:cs="Arial"/>
          <w:b/>
          <w:color w:val="333333"/>
          <w:sz w:val="24"/>
          <w:szCs w:val="24"/>
        </w:rPr>
      </w:pPr>
      <w:r w:rsidRPr="009112BB">
        <w:rPr>
          <w:rFonts w:asciiTheme="majorEastAsia" w:eastAsiaTheme="majorEastAsia" w:hAnsiTheme="majorEastAsia" w:cs="Arial" w:hint="eastAsia"/>
          <w:b/>
          <w:color w:val="333333"/>
          <w:sz w:val="24"/>
          <w:szCs w:val="24"/>
        </w:rPr>
        <w:t>三、分类</w:t>
      </w:r>
    </w:p>
    <w:p w:rsidR="009112BB" w:rsidRPr="009112BB" w:rsidRDefault="009112BB" w:rsidP="001D4A9A">
      <w:pPr>
        <w:adjustRightInd/>
        <w:snapToGrid/>
        <w:spacing w:after="0"/>
        <w:ind w:firstLineChars="200" w:firstLine="482"/>
        <w:contextualSpacing/>
        <w:mirrorIndents/>
        <w:rPr>
          <w:rFonts w:asciiTheme="majorEastAsia" w:eastAsiaTheme="majorEastAsia" w:hAnsiTheme="majorEastAsia"/>
          <w:b/>
          <w:sz w:val="24"/>
          <w:szCs w:val="24"/>
        </w:rPr>
      </w:pPr>
      <w:r w:rsidRPr="009112BB">
        <w:rPr>
          <w:rFonts w:asciiTheme="majorEastAsia" w:eastAsiaTheme="majorEastAsia" w:hAnsiTheme="majorEastAsia" w:hint="eastAsia"/>
          <w:b/>
          <w:sz w:val="24"/>
          <w:szCs w:val="24"/>
        </w:rPr>
        <w:t>1、按控制程度分类：</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1）结构型：在这种访谈中，研究者对访谈的走向和步骤起主导作用，按照自己事先设计好了的、具有固定结构的统一问卷进行访谈。选择访谈对象的标准和方法、所提的问题、提问的顺序以及记录方式都已经标准化了，研究者对所有的受访者都按照同样的程序问同样的问题。</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2）半结构型：在这种访谈中，研究者对访谈的结构具有一定的控制作用，但同时也允许受访者积极参与。通常，研究者事先备有一个粗线条的访谈提纲，根据自己的研究设计对受访者提出问题。但是，访谈提纲主要作为一种提示，访谈者在提问的同时鼓励受访者提出自己的问题，并且根据访谈的具体情况对访谈的程序和内容进行灵活的调整。</w:t>
      </w:r>
    </w:p>
    <w:p w:rsidR="009112BB" w:rsidRPr="009112BB" w:rsidRDefault="009112BB" w:rsidP="001D4A9A">
      <w:pPr>
        <w:adjustRightInd/>
        <w:snapToGrid/>
        <w:spacing w:after="0"/>
        <w:ind w:firstLineChars="100" w:firstLine="24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3）非结构型：这种访谈没有固定的访谈问题，研究者鼓励受访者用自己的语言发表自己的看法。目的是了解受访者自己认为重要的问题，他们看待问题的角度、对意义的解释，以及他们使用的概念及其表达方式。访谈者只是起一个辅助的作用，尽量让受访者根据自己的思路自由联想。</w:t>
      </w:r>
    </w:p>
    <w:p w:rsidR="009112BB" w:rsidRPr="009112BB" w:rsidRDefault="009112BB" w:rsidP="001D4A9A">
      <w:pPr>
        <w:adjustRightInd/>
        <w:snapToGrid/>
        <w:spacing w:after="0"/>
        <w:ind w:firstLineChars="200" w:firstLine="482"/>
        <w:contextualSpacing/>
        <w:mirrorIndents/>
        <w:rPr>
          <w:rFonts w:asciiTheme="majorEastAsia" w:eastAsiaTheme="majorEastAsia" w:hAnsiTheme="majorEastAsia"/>
          <w:b/>
          <w:sz w:val="24"/>
          <w:szCs w:val="24"/>
        </w:rPr>
      </w:pPr>
      <w:r w:rsidRPr="009112BB">
        <w:rPr>
          <w:rFonts w:asciiTheme="majorEastAsia" w:eastAsiaTheme="majorEastAsia" w:hAnsiTheme="majorEastAsia" w:hint="eastAsia"/>
          <w:b/>
          <w:sz w:val="24"/>
          <w:szCs w:val="24"/>
        </w:rPr>
        <w:t>2、根据访谈者与受访者双方接触的方式：</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（1）直接访谈：研究者与被研究者一起坐下来，进行面对面的交谈。</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（2）间接访谈：研究者与被研究者事先约好时间，通过电话等交通工具对对方进行访谈。</w:t>
      </w:r>
    </w:p>
    <w:p w:rsidR="009112BB" w:rsidRPr="009112BB" w:rsidRDefault="009112BB" w:rsidP="001D4A9A">
      <w:pPr>
        <w:adjustRightInd/>
        <w:snapToGrid/>
        <w:spacing w:after="0"/>
        <w:ind w:firstLineChars="200" w:firstLine="482"/>
        <w:contextualSpacing/>
        <w:mirrorIndents/>
        <w:rPr>
          <w:rFonts w:asciiTheme="majorEastAsia" w:eastAsiaTheme="majorEastAsia" w:hAnsiTheme="majorEastAsia"/>
          <w:sz w:val="24"/>
          <w:szCs w:val="24"/>
        </w:rPr>
      </w:pPr>
      <w:r w:rsidRPr="008030E5">
        <w:rPr>
          <w:rFonts w:asciiTheme="majorEastAsia" w:eastAsiaTheme="majorEastAsia" w:hAnsiTheme="majorEastAsia" w:hint="eastAsia"/>
          <w:b/>
          <w:sz w:val="24"/>
          <w:szCs w:val="24"/>
        </w:rPr>
        <w:t>3、根据受访者的人数</w:t>
      </w:r>
      <w:r w:rsidRPr="009112BB">
        <w:rPr>
          <w:rFonts w:asciiTheme="majorEastAsia" w:eastAsiaTheme="majorEastAsia" w:hAnsiTheme="majorEastAsia" w:hint="eastAsia"/>
          <w:sz w:val="24"/>
          <w:szCs w:val="24"/>
        </w:rPr>
        <w:t>：</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（1）个别访谈：通常只有一名访谈者和一名受访者，两个人就研究的问题进行交谈</w:t>
      </w:r>
    </w:p>
    <w:p w:rsidR="009112BB" w:rsidRPr="009112BB" w:rsidRDefault="009112BB" w:rsidP="001D4A9A">
      <w:pPr>
        <w:adjustRightInd/>
        <w:snapToGrid/>
        <w:spacing w:after="0"/>
        <w:ind w:firstLineChars="200" w:firstLine="480"/>
        <w:contextualSpacing/>
        <w:mirrorIndents/>
        <w:rPr>
          <w:rFonts w:asciiTheme="majorEastAsia" w:eastAsiaTheme="majorEastAsia" w:hAnsiTheme="majorEastAsia"/>
          <w:sz w:val="24"/>
          <w:szCs w:val="24"/>
        </w:rPr>
      </w:pPr>
      <w:r w:rsidRPr="009112BB">
        <w:rPr>
          <w:rFonts w:asciiTheme="majorEastAsia" w:eastAsiaTheme="majorEastAsia" w:hAnsiTheme="majorEastAsia" w:hint="eastAsia"/>
          <w:sz w:val="24"/>
          <w:szCs w:val="24"/>
        </w:rPr>
        <w:t>（2）集体访谈：可以由一到三名访谈者和六到十名参与者组成，访谈者主要协调谈话的方向和节奏，参与者自己相互之间就有关的问题进行讨论。</w:t>
      </w:r>
    </w:p>
    <w:p w:rsidR="009112BB" w:rsidRPr="00FD384C" w:rsidRDefault="009112BB" w:rsidP="001D4A9A">
      <w:pPr>
        <w:adjustRightInd/>
        <w:snapToGrid/>
        <w:contextualSpacing/>
        <w:mirrorIndents/>
        <w:rPr>
          <w:rFonts w:asciiTheme="majorEastAsia" w:eastAsiaTheme="majorEastAsia" w:hAnsiTheme="majorEastAsia"/>
          <w:b/>
          <w:sz w:val="24"/>
          <w:szCs w:val="24"/>
        </w:rPr>
      </w:pPr>
      <w:r w:rsidRPr="009112BB">
        <w:t xml:space="preserve">　　</w:t>
      </w:r>
      <w:r w:rsidRPr="00FD384C">
        <w:rPr>
          <w:rFonts w:asciiTheme="majorEastAsia" w:eastAsiaTheme="majorEastAsia" w:hAnsiTheme="majorEastAsia" w:hint="eastAsia"/>
          <w:b/>
          <w:sz w:val="24"/>
          <w:szCs w:val="24"/>
        </w:rPr>
        <w:t>4、</w:t>
      </w:r>
      <w:r w:rsidRPr="00FD384C">
        <w:rPr>
          <w:rFonts w:asciiTheme="majorEastAsia" w:eastAsiaTheme="majorEastAsia" w:hAnsiTheme="majorEastAsia"/>
          <w:b/>
          <w:sz w:val="24"/>
          <w:szCs w:val="24"/>
        </w:rPr>
        <w:t xml:space="preserve">以调查次数划分 </w:t>
      </w:r>
    </w:p>
    <w:p w:rsidR="009112BB" w:rsidRPr="009112BB" w:rsidRDefault="009112BB"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lastRenderedPageBreak/>
        <w:t xml:space="preserve">　　</w:t>
      </w:r>
      <w:r>
        <w:rPr>
          <w:rFonts w:asciiTheme="majorEastAsia" w:eastAsiaTheme="majorEastAsia" w:hAnsiTheme="majorEastAsia" w:cs="Arial" w:hint="eastAsia"/>
          <w:color w:val="333333"/>
          <w:sz w:val="24"/>
          <w:szCs w:val="24"/>
        </w:rPr>
        <w:t>（</w:t>
      </w:r>
      <w:r w:rsidRPr="009112BB">
        <w:rPr>
          <w:rFonts w:asciiTheme="majorEastAsia" w:eastAsiaTheme="majorEastAsia" w:hAnsiTheme="majorEastAsia" w:cs="Arial"/>
          <w:bCs/>
          <w:color w:val="333333"/>
          <w:sz w:val="24"/>
          <w:szCs w:val="24"/>
        </w:rPr>
        <w:t>1</w:t>
      </w:r>
      <w:r>
        <w:rPr>
          <w:rFonts w:asciiTheme="majorEastAsia" w:eastAsiaTheme="majorEastAsia" w:hAnsiTheme="majorEastAsia" w:cs="Arial" w:hint="eastAsia"/>
          <w:bCs/>
          <w:color w:val="333333"/>
          <w:sz w:val="24"/>
          <w:szCs w:val="24"/>
        </w:rPr>
        <w:t>）</w:t>
      </w:r>
      <w:hyperlink r:id="rId13" w:tooltip="横向访谈" w:history="1">
        <w:r w:rsidRPr="009112BB">
          <w:rPr>
            <w:rFonts w:asciiTheme="majorEastAsia" w:eastAsiaTheme="majorEastAsia" w:hAnsiTheme="majorEastAsia" w:cs="Arial"/>
            <w:bCs/>
            <w:sz w:val="24"/>
            <w:szCs w:val="24"/>
          </w:rPr>
          <w:t>横向访谈</w:t>
        </w:r>
      </w:hyperlink>
      <w:r w:rsidRPr="009112BB">
        <w:rPr>
          <w:rFonts w:asciiTheme="majorEastAsia" w:eastAsiaTheme="majorEastAsia" w:hAnsiTheme="majorEastAsia" w:cs="Arial"/>
          <w:sz w:val="24"/>
          <w:szCs w:val="24"/>
        </w:rPr>
        <w:t xml:space="preserve"> </w:t>
      </w:r>
    </w:p>
    <w:p w:rsidR="009112BB" w:rsidRPr="009112BB" w:rsidRDefault="009112BB"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横向访谈又称一次性访谈，它是指在同一时段对某一研究问题进行的一次性收集资料的访谈。这种研究需要抽取一定的样本，被访者有一定的数量，访谈内容是以收集事实性材料为主，研究一次性完成。 </w:t>
      </w:r>
    </w:p>
    <w:p w:rsidR="009112BB" w:rsidRPr="009112BB" w:rsidRDefault="009112BB"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横向访谈收集内容比较单一，访谈时间短，需要被访者花费的时间较少。横向访谈常用于量的研究。 </w:t>
      </w:r>
    </w:p>
    <w:p w:rsidR="009112BB" w:rsidRPr="009112BB" w:rsidRDefault="009112BB"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w:t>
      </w:r>
      <w:r>
        <w:rPr>
          <w:rFonts w:asciiTheme="majorEastAsia" w:eastAsiaTheme="majorEastAsia" w:hAnsiTheme="majorEastAsia" w:cs="Arial" w:hint="eastAsia"/>
          <w:color w:val="333333"/>
          <w:sz w:val="24"/>
          <w:szCs w:val="24"/>
        </w:rPr>
        <w:t>（</w:t>
      </w:r>
      <w:r w:rsidRPr="009112BB">
        <w:rPr>
          <w:rFonts w:asciiTheme="majorEastAsia" w:eastAsiaTheme="majorEastAsia" w:hAnsiTheme="majorEastAsia" w:cs="Arial"/>
          <w:bCs/>
          <w:color w:val="333333"/>
          <w:sz w:val="24"/>
          <w:szCs w:val="24"/>
        </w:rPr>
        <w:t>2</w:t>
      </w:r>
      <w:r>
        <w:rPr>
          <w:rFonts w:asciiTheme="majorEastAsia" w:eastAsiaTheme="majorEastAsia" w:hAnsiTheme="majorEastAsia" w:cs="Arial" w:hint="eastAsia"/>
          <w:bCs/>
          <w:color w:val="333333"/>
          <w:sz w:val="24"/>
          <w:szCs w:val="24"/>
        </w:rPr>
        <w:t>）</w:t>
      </w:r>
      <w:hyperlink r:id="rId14" w:tooltip="纵向访谈" w:history="1">
        <w:r w:rsidRPr="009112BB">
          <w:rPr>
            <w:rFonts w:asciiTheme="majorEastAsia" w:eastAsiaTheme="majorEastAsia" w:hAnsiTheme="majorEastAsia" w:cs="Arial"/>
            <w:bCs/>
            <w:sz w:val="24"/>
            <w:szCs w:val="24"/>
          </w:rPr>
          <w:t>纵向访谈</w:t>
        </w:r>
      </w:hyperlink>
      <w:r w:rsidRPr="009112BB">
        <w:rPr>
          <w:rFonts w:asciiTheme="majorEastAsia" w:eastAsiaTheme="majorEastAsia" w:hAnsiTheme="majorEastAsia" w:cs="Arial"/>
          <w:color w:val="333333"/>
          <w:sz w:val="24"/>
          <w:szCs w:val="24"/>
        </w:rPr>
        <w:t xml:space="preserve"> </w:t>
      </w:r>
    </w:p>
    <w:p w:rsidR="009112BB" w:rsidRPr="009112BB" w:rsidRDefault="009112BB" w:rsidP="001D4A9A">
      <w:pPr>
        <w:adjustRightInd/>
        <w:snapToGrid/>
        <w:spacing w:after="0"/>
        <w:contextualSpacing/>
        <w:mirrorIndents/>
        <w:rPr>
          <w:rFonts w:asciiTheme="majorEastAsia" w:eastAsiaTheme="majorEastAsia" w:hAnsiTheme="majorEastAsia" w:cs="Arial"/>
          <w:color w:val="333333"/>
          <w:sz w:val="24"/>
          <w:szCs w:val="24"/>
        </w:rPr>
      </w:pPr>
      <w:r w:rsidRPr="009112BB">
        <w:rPr>
          <w:rFonts w:asciiTheme="majorEastAsia" w:eastAsiaTheme="majorEastAsia" w:hAnsiTheme="majorEastAsia" w:cs="Arial"/>
          <w:color w:val="333333"/>
          <w:sz w:val="24"/>
          <w:szCs w:val="24"/>
        </w:rPr>
        <w:t xml:space="preserve">　　纵向访谈又称多次性访谈或重复性访谈，它是指多次收集固定研究对象有关资料的跟踪访谈，。也就是对同一样本进行两次以上的访谈以收集资料的方式。纵向访谈是一种</w:t>
      </w:r>
      <w:hyperlink r:id="rId15" w:tooltip="深度访谈" w:history="1">
        <w:r w:rsidRPr="009112BB">
          <w:rPr>
            <w:rFonts w:asciiTheme="majorEastAsia" w:eastAsiaTheme="majorEastAsia" w:hAnsiTheme="majorEastAsia" w:cs="Arial"/>
            <w:sz w:val="24"/>
            <w:szCs w:val="24"/>
          </w:rPr>
          <w:t>深度访谈</w:t>
        </w:r>
      </w:hyperlink>
      <w:r w:rsidRPr="009112BB">
        <w:rPr>
          <w:rFonts w:asciiTheme="majorEastAsia" w:eastAsiaTheme="majorEastAsia" w:hAnsiTheme="majorEastAsia" w:cs="Arial"/>
          <w:color w:val="333333"/>
          <w:sz w:val="24"/>
          <w:szCs w:val="24"/>
        </w:rPr>
        <w:t xml:space="preserve">，它可以对问题展开由浅入深的调查，以探讨深层次的问题。纵向访谈常用于个案研究或验证性研究，这种访谈常用于质的研究。 </w:t>
      </w:r>
    </w:p>
    <w:p w:rsidR="009112BB" w:rsidRPr="009112BB" w:rsidRDefault="009112BB" w:rsidP="001D4A9A">
      <w:pPr>
        <w:adjustRightInd/>
        <w:snapToGrid/>
        <w:spacing w:after="0"/>
        <w:contextualSpacing/>
        <w:mirrorIndents/>
        <w:rPr>
          <w:rFonts w:asciiTheme="majorEastAsia" w:eastAsiaTheme="majorEastAsia" w:hAnsiTheme="majorEastAsia"/>
          <w:b/>
          <w:sz w:val="24"/>
          <w:szCs w:val="24"/>
        </w:rPr>
      </w:pPr>
      <w:r w:rsidRPr="009112BB">
        <w:rPr>
          <w:rFonts w:asciiTheme="majorEastAsia" w:eastAsiaTheme="majorEastAsia" w:hAnsiTheme="majorEastAsia" w:hint="eastAsia"/>
          <w:b/>
          <w:sz w:val="24"/>
          <w:szCs w:val="24"/>
        </w:rPr>
        <w:t>四、过程</w:t>
      </w:r>
    </w:p>
    <w:p w:rsidR="009112BB" w:rsidRPr="005E7353" w:rsidRDefault="009112BB" w:rsidP="001D4A9A">
      <w:pPr>
        <w:adjustRightInd/>
        <w:snapToGrid/>
        <w:contextualSpacing/>
        <w:mirrorIndents/>
        <w:rPr>
          <w:rFonts w:asciiTheme="minorEastAsia" w:eastAsiaTheme="minorEastAsia" w:hAnsiTheme="minorEastAsia"/>
          <w:sz w:val="24"/>
          <w:szCs w:val="24"/>
        </w:rPr>
      </w:pPr>
      <w:r w:rsidRPr="009112BB">
        <w:rPr>
          <w:rFonts w:asciiTheme="majorEastAsia" w:eastAsiaTheme="majorEastAsia" w:hAnsiTheme="majorEastAsia" w:cs="Arial"/>
          <w:color w:val="333333"/>
          <w:sz w:val="24"/>
          <w:szCs w:val="24"/>
        </w:rPr>
        <w:t>1.</w:t>
      </w:r>
      <w:r w:rsidR="005E7353" w:rsidRPr="005E7353">
        <w:rPr>
          <w:rFonts w:asciiTheme="minorEastAsia" w:eastAsiaTheme="minorEastAsia" w:hAnsiTheme="minorEastAsia" w:hint="eastAsia"/>
          <w:sz w:val="24"/>
          <w:szCs w:val="24"/>
        </w:rPr>
        <w:t xml:space="preserve"> 做好访谈前的准备活动。访谈前的准备活动包括确立访谈的提纲、准备好访谈的工具、访谈的抽样和与被访谈者确立研究关系等。</w:t>
      </w:r>
      <w:r w:rsidR="00D50F8B" w:rsidRPr="005E7353">
        <w:rPr>
          <w:rFonts w:asciiTheme="minorEastAsia" w:eastAsiaTheme="minorEastAsia" w:hAnsiTheme="minorEastAsia" w:hint="eastAsia"/>
          <w:sz w:val="24"/>
          <w:szCs w:val="24"/>
        </w:rPr>
        <w:t>首先,访谈前应该有访谈提纲,无提纲的访谈使访谈变得漫无目的,从而影响了研究的意义。有提纲的访谈有助于节省双方的时间和提高访谈的效率。其次,要有访谈的工具。纸笔和便携式录音机和采访机是访谈前应该有的准备工具,在现场的笔录和录音可以真实地再现被访谈者的言语活动和双方的对话互动过程,对以后的资料登录和进一步分析有至关重要的意义。使用笔录和录音时必须经过被研究者的同意。最后要与被访谈者确立“研究”关系。在双方互相了解的基础上,在征求被访谈者同意访谈之后,提前确定进行访谈的时间和地点,以便使访谈顺利进行,并避免不确定性因素的干扰。</w:t>
      </w:r>
    </w:p>
    <w:p w:rsidR="009112BB" w:rsidRPr="00D50F8B" w:rsidRDefault="009112BB" w:rsidP="001D4A9A">
      <w:pPr>
        <w:adjustRightInd/>
        <w:snapToGrid/>
        <w:contextualSpacing/>
        <w:mirrorIndents/>
        <w:rPr>
          <w:rFonts w:asciiTheme="minorEastAsia" w:eastAsiaTheme="minorEastAsia" w:hAnsiTheme="minorEastAsia"/>
          <w:sz w:val="24"/>
          <w:szCs w:val="24"/>
        </w:rPr>
      </w:pPr>
      <w:r w:rsidRPr="00E44954">
        <w:rPr>
          <w:rFonts w:asciiTheme="minorEastAsia" w:eastAsiaTheme="minorEastAsia" w:hAnsiTheme="minorEastAsia"/>
          <w:sz w:val="24"/>
          <w:szCs w:val="24"/>
        </w:rPr>
        <w:t xml:space="preserve">　　2.恰当进行提问。</w:t>
      </w:r>
      <w:r w:rsidR="00E44954" w:rsidRPr="00E44954">
        <w:rPr>
          <w:rFonts w:asciiTheme="minorEastAsia" w:eastAsiaTheme="minorEastAsia" w:hAnsiTheme="minorEastAsia" w:hint="eastAsia"/>
          <w:sz w:val="24"/>
          <w:szCs w:val="24"/>
        </w:rPr>
        <w:t>提问技巧</w:t>
      </w:r>
      <w:r w:rsidR="00E44954" w:rsidRPr="00E44954">
        <w:rPr>
          <w:rFonts w:asciiTheme="minorEastAsia" w:eastAsiaTheme="minorEastAsia" w:hAnsiTheme="minorEastAsia"/>
          <w:sz w:val="24"/>
          <w:szCs w:val="24"/>
        </w:rPr>
        <w:t xml:space="preserve"> </w:t>
      </w:r>
      <w:r w:rsidR="00E44954" w:rsidRPr="00E44954">
        <w:rPr>
          <w:rFonts w:asciiTheme="minorEastAsia" w:eastAsiaTheme="minorEastAsia" w:hAnsiTheme="minorEastAsia" w:hint="eastAsia"/>
          <w:sz w:val="24"/>
          <w:szCs w:val="24"/>
        </w:rPr>
        <w:t>：</w:t>
      </w:r>
      <w:r w:rsidR="00B711D5" w:rsidRPr="00E44954">
        <w:rPr>
          <w:rFonts w:asciiTheme="minorEastAsia" w:eastAsiaTheme="minorEastAsia" w:hAnsiTheme="minorEastAsia" w:hint="eastAsia"/>
          <w:sz w:val="24"/>
          <w:szCs w:val="24"/>
        </w:rPr>
        <w:t>第一，从简单问题入手</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第二，提问有序</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第三，适时追问</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第四，题目转换自然</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第五，注意引导</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第六，保持客观中立</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第七</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，敏感性问题不要直接提问</w:t>
      </w:r>
      <w:r w:rsidR="00B711D5" w:rsidRPr="00E44954">
        <w:rPr>
          <w:rFonts w:asciiTheme="minorEastAsia" w:eastAsiaTheme="minorEastAsia" w:hAnsiTheme="minorEastAsia" w:hint="eastAsia"/>
          <w:sz w:val="24"/>
          <w:szCs w:val="24"/>
        </w:rPr>
        <w:t xml:space="preserve"> </w:t>
      </w:r>
      <w:r w:rsidR="00B711D5" w:rsidRPr="00E44954">
        <w:rPr>
          <w:rFonts w:asciiTheme="minorEastAsia" w:eastAsiaTheme="minorEastAsia" w:hAnsiTheme="minorEastAsia" w:hint="eastAsia"/>
          <w:sz w:val="24"/>
          <w:szCs w:val="24"/>
        </w:rPr>
        <w:t>第八，语言表达方式要恰当</w:t>
      </w:r>
      <w:r w:rsidR="00B711D5" w:rsidRPr="00E44954">
        <w:rPr>
          <w:rFonts w:asciiTheme="minorEastAsia" w:eastAsiaTheme="minorEastAsia" w:hAnsiTheme="minorEastAsia" w:hint="eastAsia"/>
          <w:sz w:val="24"/>
          <w:szCs w:val="24"/>
        </w:rPr>
        <w:t xml:space="preserve"> </w:t>
      </w:r>
      <w:r w:rsidR="00E44954">
        <w:rPr>
          <w:rFonts w:asciiTheme="minorEastAsia" w:eastAsiaTheme="minorEastAsia" w:hAnsiTheme="minorEastAsia" w:hint="eastAsia"/>
          <w:sz w:val="24"/>
          <w:szCs w:val="24"/>
        </w:rPr>
        <w:t>。</w:t>
      </w:r>
      <w:r w:rsidR="00D50F8B" w:rsidRPr="005E7353">
        <w:rPr>
          <w:rFonts w:asciiTheme="minorEastAsia" w:eastAsiaTheme="minorEastAsia" w:hAnsiTheme="minorEastAsia" w:hint="eastAsia"/>
          <w:sz w:val="24"/>
          <w:szCs w:val="24"/>
        </w:rPr>
        <w:t>比如想了解农村母亲对课堂教学的看法时,有位母亲这样说:“娃娃的老师经常在课堂上说闲话呢!”这对于研究者是一个很重要的暗示信息。如果在此时转入另一话题,这个信息就会被中断,以后在整理资料时可能会感觉很遗憾,但如果继续追问下去,“老师在课堂上说什么闲话呢?他在哪一堂课上说闲话?他是哪个科目的老师?”这一连串的信息链由此而产生,对于研究农村小学课堂教学的现状和教师的情况有很重要的作用,这就是访谈中的追问。有时候在访谈过程中由于被访谈者的个性心理特征等因素的影响,常常有比较长的沉默时间,此时研究者不要急于求成,打断被访谈者的思维,而应该认真倾听,使对方把自己想说而暂时没有倾诉的话语表达出来。所以,应该允许访谈过程中存在“冷场”。如果被访者确实不愿意说,研究者应该及时转移话题。</w:t>
      </w:r>
      <w:r w:rsidRPr="009112BB">
        <w:rPr>
          <w:rFonts w:asciiTheme="majorEastAsia" w:eastAsiaTheme="majorEastAsia" w:hAnsiTheme="majorEastAsia" w:cs="Arial"/>
          <w:color w:val="333333"/>
          <w:sz w:val="24"/>
          <w:szCs w:val="24"/>
        </w:rPr>
        <w:t xml:space="preserve"> </w:t>
      </w:r>
    </w:p>
    <w:p w:rsidR="009112BB" w:rsidRPr="007B0923" w:rsidRDefault="009112BB" w:rsidP="001D4A9A">
      <w:pPr>
        <w:adjustRightInd/>
        <w:snapToGrid/>
        <w:contextualSpacing/>
        <w:mirrorIndents/>
        <w:rPr>
          <w:rFonts w:asciiTheme="minorEastAsia" w:eastAsiaTheme="minorEastAsia" w:hAnsiTheme="minorEastAsia"/>
          <w:sz w:val="24"/>
          <w:szCs w:val="24"/>
        </w:rPr>
      </w:pPr>
      <w:r w:rsidRPr="009112BB">
        <w:t xml:space="preserve">　</w:t>
      </w:r>
      <w:r w:rsidRPr="007B0923">
        <w:rPr>
          <w:rFonts w:asciiTheme="minorEastAsia" w:eastAsiaTheme="minorEastAsia" w:hAnsiTheme="minorEastAsia"/>
          <w:sz w:val="24"/>
          <w:szCs w:val="24"/>
        </w:rPr>
        <w:t xml:space="preserve">　3.准确扑捉信息，及时收集有关资料。访谈法收集资料的主要形式是"倾听"。"倾听"可以在不同的层面上进行：在态度上，访谈者应该是"积极关注的听"，而不应该是"表面的或消极的听"；在情感层面上，访谈者要"有感情的听"和"共情的听"，避免"无感情的听"；在认知层面，要随时将受访者所说的话或信息迅速地纳入自己的认知结构中加以理解和同化，必要时还要与对方进行对话，与对方进行平等的交流，共同建构新的认识和意义。另外"倾听"还需要特别遵循两个原则：不要轻易地打断对方和容忍沉默； </w:t>
      </w:r>
    </w:p>
    <w:p w:rsidR="009112BB" w:rsidRPr="007B0923" w:rsidRDefault="009112BB" w:rsidP="001D4A9A">
      <w:pPr>
        <w:adjustRightInd/>
        <w:snapToGrid/>
        <w:contextualSpacing/>
        <w:mirrorIndents/>
        <w:rPr>
          <w:rFonts w:asciiTheme="minorEastAsia" w:eastAsiaTheme="minorEastAsia" w:hAnsiTheme="minorEastAsia"/>
          <w:sz w:val="24"/>
          <w:szCs w:val="24"/>
        </w:rPr>
      </w:pPr>
      <w:r w:rsidRPr="007B0923">
        <w:rPr>
          <w:rFonts w:asciiTheme="minorEastAsia" w:eastAsiaTheme="minorEastAsia" w:hAnsiTheme="minorEastAsia"/>
          <w:sz w:val="24"/>
          <w:szCs w:val="24"/>
        </w:rPr>
        <w:lastRenderedPageBreak/>
        <w:t xml:space="preserve">　　4.适当地作出回应。访谈者不只是提问和倾听，还需要将自己的态度、意向和想法及时地传递给对方。回应的方式多种多样，可以是诸如"对"、"是吗"很好"等言语行为，也可以是点头、微笑等非言语行为，还可以是重复、重组和总结； </w:t>
      </w:r>
    </w:p>
    <w:p w:rsidR="009112BB" w:rsidRPr="007B0923" w:rsidRDefault="009112BB" w:rsidP="001D4A9A">
      <w:pPr>
        <w:adjustRightInd/>
        <w:snapToGrid/>
        <w:ind w:firstLineChars="200" w:firstLine="480"/>
        <w:contextualSpacing/>
        <w:mirrorIndents/>
        <w:rPr>
          <w:rFonts w:asciiTheme="minorEastAsia" w:eastAsiaTheme="minorEastAsia" w:hAnsiTheme="minorEastAsia" w:hint="eastAsia"/>
          <w:sz w:val="24"/>
          <w:szCs w:val="24"/>
        </w:rPr>
      </w:pPr>
      <w:r w:rsidRPr="007B0923">
        <w:rPr>
          <w:rFonts w:asciiTheme="minorEastAsia" w:eastAsiaTheme="minorEastAsia" w:hAnsiTheme="minorEastAsia"/>
          <w:sz w:val="24"/>
          <w:szCs w:val="24"/>
        </w:rPr>
        <w:t xml:space="preserve">5.及时作好访谈记录，一般还要录音或录像。　</w:t>
      </w:r>
    </w:p>
    <w:p w:rsidR="005E7353" w:rsidRPr="007B0923" w:rsidRDefault="005E7353" w:rsidP="001D4A9A">
      <w:pPr>
        <w:adjustRightInd/>
        <w:snapToGrid/>
        <w:contextualSpacing/>
        <w:mirrorIndents/>
        <w:rPr>
          <w:rFonts w:asciiTheme="minorEastAsia" w:eastAsiaTheme="minorEastAsia" w:hAnsiTheme="minorEastAsia" w:hint="eastAsia"/>
          <w:sz w:val="24"/>
          <w:szCs w:val="24"/>
        </w:rPr>
      </w:pPr>
      <w:r w:rsidRPr="007B0923">
        <w:rPr>
          <w:rFonts w:asciiTheme="minorEastAsia" w:eastAsiaTheme="minorEastAsia" w:hAnsiTheme="minorEastAsia" w:hint="eastAsia"/>
          <w:sz w:val="24"/>
          <w:szCs w:val="24"/>
        </w:rPr>
        <w:t>在访谈</w:t>
      </w:r>
    </w:p>
    <w:p w:rsidR="001D4A9A" w:rsidRDefault="001D4A9A" w:rsidP="001D4A9A">
      <w:pPr>
        <w:adjustRightInd/>
        <w:snapToGrid/>
        <w:spacing w:after="0"/>
        <w:contextualSpacing/>
        <w:mirrorIndents/>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注意</w:t>
      </w:r>
    </w:p>
    <w:p w:rsidR="00000000" w:rsidRPr="001D4A9A" w:rsidRDefault="00B711D5" w:rsidP="001D4A9A">
      <w:pPr>
        <w:adjustRightInd/>
        <w:snapToGrid/>
        <w:ind w:firstLineChars="200" w:firstLine="480"/>
        <w:contextualSpacing/>
        <w:mirrorIndents/>
        <w:rPr>
          <w:rFonts w:asciiTheme="minorEastAsia" w:eastAsiaTheme="minorEastAsia" w:hAnsiTheme="minorEastAsia"/>
          <w:sz w:val="24"/>
          <w:szCs w:val="24"/>
        </w:rPr>
      </w:pPr>
      <w:r w:rsidRPr="001D4A9A">
        <w:rPr>
          <w:rFonts w:asciiTheme="minorEastAsia" w:eastAsiaTheme="minorEastAsia" w:hAnsiTheme="minorEastAsia" w:hint="eastAsia"/>
          <w:sz w:val="24"/>
          <w:szCs w:val="24"/>
        </w:rPr>
        <w:t>第一，礼貌、谦虚、诚恳、耐心是访谈者自始至终都必须具备的最重要的表现；</w:t>
      </w:r>
    </w:p>
    <w:p w:rsidR="00000000" w:rsidRPr="001D4A9A" w:rsidRDefault="00B711D5" w:rsidP="001D4A9A">
      <w:pPr>
        <w:adjustRightInd/>
        <w:snapToGrid/>
        <w:ind w:firstLineChars="200" w:firstLine="480"/>
        <w:contextualSpacing/>
        <w:mirrorIndents/>
        <w:rPr>
          <w:rFonts w:asciiTheme="minorEastAsia" w:eastAsiaTheme="minorEastAsia" w:hAnsiTheme="minorEastAsia"/>
          <w:sz w:val="24"/>
          <w:szCs w:val="24"/>
        </w:rPr>
      </w:pPr>
      <w:r w:rsidRPr="001D4A9A">
        <w:rPr>
          <w:rFonts w:asciiTheme="minorEastAsia" w:eastAsiaTheme="minorEastAsia" w:hAnsiTheme="minorEastAsia" w:hint="eastAsia"/>
          <w:sz w:val="24"/>
          <w:szCs w:val="24"/>
        </w:rPr>
        <w:t>第二，一般的访谈时间不宜过长，以</w:t>
      </w:r>
      <w:r w:rsidRPr="001D4A9A">
        <w:rPr>
          <w:rFonts w:asciiTheme="minorEastAsia" w:eastAsiaTheme="minorEastAsia" w:hAnsiTheme="minorEastAsia" w:hint="eastAsia"/>
          <w:sz w:val="24"/>
          <w:szCs w:val="24"/>
        </w:rPr>
        <w:t>1</w:t>
      </w:r>
      <w:r w:rsidRPr="001D4A9A">
        <w:rPr>
          <w:rFonts w:asciiTheme="minorEastAsia" w:eastAsiaTheme="minorEastAsia" w:hAnsiTheme="minorEastAsia" w:hint="eastAsia"/>
          <w:sz w:val="24"/>
          <w:szCs w:val="24"/>
        </w:rPr>
        <w:t>～</w:t>
      </w:r>
      <w:r w:rsidRPr="001D4A9A">
        <w:rPr>
          <w:rFonts w:asciiTheme="minorEastAsia" w:eastAsiaTheme="minorEastAsia" w:hAnsiTheme="minorEastAsia" w:hint="eastAsia"/>
          <w:sz w:val="24"/>
          <w:szCs w:val="24"/>
        </w:rPr>
        <w:t>2</w:t>
      </w:r>
      <w:r w:rsidRPr="001D4A9A">
        <w:rPr>
          <w:rFonts w:asciiTheme="minorEastAsia" w:eastAsiaTheme="minorEastAsia" w:hAnsiTheme="minorEastAsia" w:hint="eastAsia"/>
          <w:sz w:val="24"/>
          <w:szCs w:val="24"/>
        </w:rPr>
        <w:t>小时为宜；</w:t>
      </w:r>
    </w:p>
    <w:p w:rsidR="009112BB" w:rsidRPr="001D4A9A" w:rsidRDefault="001D4A9A" w:rsidP="001D4A9A">
      <w:pPr>
        <w:adjustRightInd/>
        <w:snapToGrid/>
        <w:ind w:firstLineChars="200" w:firstLine="480"/>
        <w:contextualSpacing/>
        <w:mirrorIndents/>
        <w:rPr>
          <w:rFonts w:asciiTheme="minorEastAsia" w:eastAsiaTheme="minorEastAsia" w:hAnsiTheme="minorEastAsia"/>
          <w:sz w:val="24"/>
          <w:szCs w:val="24"/>
        </w:rPr>
      </w:pPr>
      <w:r w:rsidRPr="001D4A9A">
        <w:rPr>
          <w:rFonts w:asciiTheme="minorEastAsia" w:eastAsiaTheme="minorEastAsia" w:hAnsiTheme="minorEastAsia" w:hint="eastAsia"/>
          <w:sz w:val="24"/>
          <w:szCs w:val="24"/>
        </w:rPr>
        <w:t>第三，访谈者对结束访谈和告别一定要重视，</w:t>
      </w:r>
    </w:p>
    <w:p w:rsidR="009112BB" w:rsidRPr="009112BB" w:rsidRDefault="009112BB" w:rsidP="001D4A9A">
      <w:pPr>
        <w:adjustRightInd/>
        <w:snapToGrid/>
        <w:ind w:firstLineChars="200" w:firstLine="480"/>
        <w:contextualSpacing/>
        <w:mirrorIndents/>
        <w:rPr>
          <w:rFonts w:asciiTheme="majorEastAsia" w:eastAsiaTheme="majorEastAsia" w:hAnsiTheme="majorEastAsia"/>
          <w:sz w:val="24"/>
          <w:szCs w:val="24"/>
        </w:rPr>
      </w:pPr>
    </w:p>
    <w:p w:rsidR="009112BB" w:rsidRPr="009112BB" w:rsidRDefault="009112BB" w:rsidP="001D4A9A">
      <w:pPr>
        <w:adjustRightInd/>
        <w:snapToGrid/>
        <w:spacing w:before="240" w:after="240"/>
        <w:ind w:firstLine="391"/>
        <w:contextualSpacing/>
        <w:mirrorIndents/>
        <w:rPr>
          <w:rFonts w:asciiTheme="majorEastAsia" w:eastAsiaTheme="majorEastAsia" w:hAnsiTheme="majorEastAsia" w:cs="Arial"/>
          <w:color w:val="333333"/>
          <w:sz w:val="24"/>
          <w:szCs w:val="24"/>
        </w:rPr>
      </w:pPr>
    </w:p>
    <w:p w:rsidR="000A48EF" w:rsidRPr="009112BB" w:rsidRDefault="000A48EF" w:rsidP="001D4A9A">
      <w:pPr>
        <w:adjustRightInd/>
        <w:snapToGrid/>
        <w:contextualSpacing/>
        <w:mirrorIndents/>
        <w:rPr>
          <w:rFonts w:asciiTheme="majorEastAsia" w:eastAsiaTheme="majorEastAsia" w:hAnsiTheme="majorEastAsia"/>
          <w:sz w:val="24"/>
          <w:szCs w:val="24"/>
        </w:rPr>
      </w:pPr>
    </w:p>
    <w:sectPr w:rsidR="000A48EF" w:rsidRPr="009112BB" w:rsidSect="008030E5">
      <w:pgSz w:w="11906" w:h="16838"/>
      <w:pgMar w:top="1134" w:right="1418" w:bottom="1134" w:left="1418" w:header="709" w:footer="709"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1D5" w:rsidRDefault="00B711D5" w:rsidP="00042B9A">
      <w:pPr>
        <w:spacing w:after="0"/>
      </w:pPr>
      <w:r>
        <w:separator/>
      </w:r>
    </w:p>
  </w:endnote>
  <w:endnote w:type="continuationSeparator" w:id="0">
    <w:p w:rsidR="00B711D5" w:rsidRDefault="00B711D5" w:rsidP="00042B9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1D5" w:rsidRDefault="00B711D5" w:rsidP="00042B9A">
      <w:pPr>
        <w:spacing w:after="0"/>
      </w:pPr>
      <w:r>
        <w:separator/>
      </w:r>
    </w:p>
  </w:footnote>
  <w:footnote w:type="continuationSeparator" w:id="0">
    <w:p w:rsidR="00B711D5" w:rsidRDefault="00B711D5" w:rsidP="00042B9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45226"/>
    <w:multiLevelType w:val="hybridMultilevel"/>
    <w:tmpl w:val="5F665518"/>
    <w:lvl w:ilvl="0" w:tplc="EC90FFA0">
      <w:start w:val="1"/>
      <w:numFmt w:val="bullet"/>
      <w:lvlText w:val="•"/>
      <w:lvlJc w:val="left"/>
      <w:pPr>
        <w:tabs>
          <w:tab w:val="num" w:pos="720"/>
        </w:tabs>
        <w:ind w:left="720" w:hanging="360"/>
      </w:pPr>
      <w:rPr>
        <w:rFonts w:ascii="Arial" w:hAnsi="Arial" w:hint="default"/>
      </w:rPr>
    </w:lvl>
    <w:lvl w:ilvl="1" w:tplc="3E70B56C" w:tentative="1">
      <w:start w:val="1"/>
      <w:numFmt w:val="bullet"/>
      <w:lvlText w:val="•"/>
      <w:lvlJc w:val="left"/>
      <w:pPr>
        <w:tabs>
          <w:tab w:val="num" w:pos="1440"/>
        </w:tabs>
        <w:ind w:left="1440" w:hanging="360"/>
      </w:pPr>
      <w:rPr>
        <w:rFonts w:ascii="Arial" w:hAnsi="Arial" w:hint="default"/>
      </w:rPr>
    </w:lvl>
    <w:lvl w:ilvl="2" w:tplc="94726138" w:tentative="1">
      <w:start w:val="1"/>
      <w:numFmt w:val="bullet"/>
      <w:lvlText w:val="•"/>
      <w:lvlJc w:val="left"/>
      <w:pPr>
        <w:tabs>
          <w:tab w:val="num" w:pos="2160"/>
        </w:tabs>
        <w:ind w:left="2160" w:hanging="360"/>
      </w:pPr>
      <w:rPr>
        <w:rFonts w:ascii="Arial" w:hAnsi="Arial" w:hint="default"/>
      </w:rPr>
    </w:lvl>
    <w:lvl w:ilvl="3" w:tplc="FBA45F72" w:tentative="1">
      <w:start w:val="1"/>
      <w:numFmt w:val="bullet"/>
      <w:lvlText w:val="•"/>
      <w:lvlJc w:val="left"/>
      <w:pPr>
        <w:tabs>
          <w:tab w:val="num" w:pos="2880"/>
        </w:tabs>
        <w:ind w:left="2880" w:hanging="360"/>
      </w:pPr>
      <w:rPr>
        <w:rFonts w:ascii="Arial" w:hAnsi="Arial" w:hint="default"/>
      </w:rPr>
    </w:lvl>
    <w:lvl w:ilvl="4" w:tplc="EC6A1D58" w:tentative="1">
      <w:start w:val="1"/>
      <w:numFmt w:val="bullet"/>
      <w:lvlText w:val="•"/>
      <w:lvlJc w:val="left"/>
      <w:pPr>
        <w:tabs>
          <w:tab w:val="num" w:pos="3600"/>
        </w:tabs>
        <w:ind w:left="3600" w:hanging="360"/>
      </w:pPr>
      <w:rPr>
        <w:rFonts w:ascii="Arial" w:hAnsi="Arial" w:hint="default"/>
      </w:rPr>
    </w:lvl>
    <w:lvl w:ilvl="5" w:tplc="2FB4908C" w:tentative="1">
      <w:start w:val="1"/>
      <w:numFmt w:val="bullet"/>
      <w:lvlText w:val="•"/>
      <w:lvlJc w:val="left"/>
      <w:pPr>
        <w:tabs>
          <w:tab w:val="num" w:pos="4320"/>
        </w:tabs>
        <w:ind w:left="4320" w:hanging="360"/>
      </w:pPr>
      <w:rPr>
        <w:rFonts w:ascii="Arial" w:hAnsi="Arial" w:hint="default"/>
      </w:rPr>
    </w:lvl>
    <w:lvl w:ilvl="6" w:tplc="B67A184C" w:tentative="1">
      <w:start w:val="1"/>
      <w:numFmt w:val="bullet"/>
      <w:lvlText w:val="•"/>
      <w:lvlJc w:val="left"/>
      <w:pPr>
        <w:tabs>
          <w:tab w:val="num" w:pos="5040"/>
        </w:tabs>
        <w:ind w:left="5040" w:hanging="360"/>
      </w:pPr>
      <w:rPr>
        <w:rFonts w:ascii="Arial" w:hAnsi="Arial" w:hint="default"/>
      </w:rPr>
    </w:lvl>
    <w:lvl w:ilvl="7" w:tplc="78B4FF68" w:tentative="1">
      <w:start w:val="1"/>
      <w:numFmt w:val="bullet"/>
      <w:lvlText w:val="•"/>
      <w:lvlJc w:val="left"/>
      <w:pPr>
        <w:tabs>
          <w:tab w:val="num" w:pos="5760"/>
        </w:tabs>
        <w:ind w:left="5760" w:hanging="360"/>
      </w:pPr>
      <w:rPr>
        <w:rFonts w:ascii="Arial" w:hAnsi="Arial" w:hint="default"/>
      </w:rPr>
    </w:lvl>
    <w:lvl w:ilvl="8" w:tplc="DB3ADDE4" w:tentative="1">
      <w:start w:val="1"/>
      <w:numFmt w:val="bullet"/>
      <w:lvlText w:val="•"/>
      <w:lvlJc w:val="left"/>
      <w:pPr>
        <w:tabs>
          <w:tab w:val="num" w:pos="6480"/>
        </w:tabs>
        <w:ind w:left="6480" w:hanging="360"/>
      </w:pPr>
      <w:rPr>
        <w:rFonts w:ascii="Arial" w:hAnsi="Arial" w:hint="default"/>
      </w:rPr>
    </w:lvl>
  </w:abstractNum>
  <w:abstractNum w:abstractNumId="1">
    <w:nsid w:val="754516E9"/>
    <w:multiLevelType w:val="hybridMultilevel"/>
    <w:tmpl w:val="500A098A"/>
    <w:lvl w:ilvl="0" w:tplc="31E4808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CCB4A63"/>
    <w:multiLevelType w:val="hybridMultilevel"/>
    <w:tmpl w:val="0512CD3E"/>
    <w:lvl w:ilvl="0" w:tplc="7B2E1A74">
      <w:start w:val="1"/>
      <w:numFmt w:val="bullet"/>
      <w:lvlText w:val="•"/>
      <w:lvlJc w:val="left"/>
      <w:pPr>
        <w:tabs>
          <w:tab w:val="num" w:pos="720"/>
        </w:tabs>
        <w:ind w:left="720" w:hanging="360"/>
      </w:pPr>
      <w:rPr>
        <w:rFonts w:ascii="Arial" w:hAnsi="Arial" w:hint="default"/>
      </w:rPr>
    </w:lvl>
    <w:lvl w:ilvl="1" w:tplc="4094EA32" w:tentative="1">
      <w:start w:val="1"/>
      <w:numFmt w:val="bullet"/>
      <w:lvlText w:val="•"/>
      <w:lvlJc w:val="left"/>
      <w:pPr>
        <w:tabs>
          <w:tab w:val="num" w:pos="1440"/>
        </w:tabs>
        <w:ind w:left="1440" w:hanging="360"/>
      </w:pPr>
      <w:rPr>
        <w:rFonts w:ascii="Arial" w:hAnsi="Arial" w:hint="default"/>
      </w:rPr>
    </w:lvl>
    <w:lvl w:ilvl="2" w:tplc="31A60432" w:tentative="1">
      <w:start w:val="1"/>
      <w:numFmt w:val="bullet"/>
      <w:lvlText w:val="•"/>
      <w:lvlJc w:val="left"/>
      <w:pPr>
        <w:tabs>
          <w:tab w:val="num" w:pos="2160"/>
        </w:tabs>
        <w:ind w:left="2160" w:hanging="360"/>
      </w:pPr>
      <w:rPr>
        <w:rFonts w:ascii="Arial" w:hAnsi="Arial" w:hint="default"/>
      </w:rPr>
    </w:lvl>
    <w:lvl w:ilvl="3" w:tplc="69FE9BDA" w:tentative="1">
      <w:start w:val="1"/>
      <w:numFmt w:val="bullet"/>
      <w:lvlText w:val="•"/>
      <w:lvlJc w:val="left"/>
      <w:pPr>
        <w:tabs>
          <w:tab w:val="num" w:pos="2880"/>
        </w:tabs>
        <w:ind w:left="2880" w:hanging="360"/>
      </w:pPr>
      <w:rPr>
        <w:rFonts w:ascii="Arial" w:hAnsi="Arial" w:hint="default"/>
      </w:rPr>
    </w:lvl>
    <w:lvl w:ilvl="4" w:tplc="71680D98" w:tentative="1">
      <w:start w:val="1"/>
      <w:numFmt w:val="bullet"/>
      <w:lvlText w:val="•"/>
      <w:lvlJc w:val="left"/>
      <w:pPr>
        <w:tabs>
          <w:tab w:val="num" w:pos="3600"/>
        </w:tabs>
        <w:ind w:left="3600" w:hanging="360"/>
      </w:pPr>
      <w:rPr>
        <w:rFonts w:ascii="Arial" w:hAnsi="Arial" w:hint="default"/>
      </w:rPr>
    </w:lvl>
    <w:lvl w:ilvl="5" w:tplc="DB4CA4A6" w:tentative="1">
      <w:start w:val="1"/>
      <w:numFmt w:val="bullet"/>
      <w:lvlText w:val="•"/>
      <w:lvlJc w:val="left"/>
      <w:pPr>
        <w:tabs>
          <w:tab w:val="num" w:pos="4320"/>
        </w:tabs>
        <w:ind w:left="4320" w:hanging="360"/>
      </w:pPr>
      <w:rPr>
        <w:rFonts w:ascii="Arial" w:hAnsi="Arial" w:hint="default"/>
      </w:rPr>
    </w:lvl>
    <w:lvl w:ilvl="6" w:tplc="F26E1CC8" w:tentative="1">
      <w:start w:val="1"/>
      <w:numFmt w:val="bullet"/>
      <w:lvlText w:val="•"/>
      <w:lvlJc w:val="left"/>
      <w:pPr>
        <w:tabs>
          <w:tab w:val="num" w:pos="5040"/>
        </w:tabs>
        <w:ind w:left="5040" w:hanging="360"/>
      </w:pPr>
      <w:rPr>
        <w:rFonts w:ascii="Arial" w:hAnsi="Arial" w:hint="default"/>
      </w:rPr>
    </w:lvl>
    <w:lvl w:ilvl="7" w:tplc="958CBEAA" w:tentative="1">
      <w:start w:val="1"/>
      <w:numFmt w:val="bullet"/>
      <w:lvlText w:val="•"/>
      <w:lvlJc w:val="left"/>
      <w:pPr>
        <w:tabs>
          <w:tab w:val="num" w:pos="5760"/>
        </w:tabs>
        <w:ind w:left="5760" w:hanging="360"/>
      </w:pPr>
      <w:rPr>
        <w:rFonts w:ascii="Arial" w:hAnsi="Arial" w:hint="default"/>
      </w:rPr>
    </w:lvl>
    <w:lvl w:ilvl="8" w:tplc="2CFAD3D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2290"/>
  </w:hdrShapeDefaults>
  <w:footnotePr>
    <w:footnote w:id="-1"/>
    <w:footnote w:id="0"/>
  </w:footnotePr>
  <w:endnotePr>
    <w:endnote w:id="-1"/>
    <w:endnote w:id="0"/>
  </w:endnotePr>
  <w:compat>
    <w:useFELayout/>
  </w:compat>
  <w:rsids>
    <w:rsidRoot w:val="00D31D50"/>
    <w:rsid w:val="0002781B"/>
    <w:rsid w:val="00042B9A"/>
    <w:rsid w:val="000A48EF"/>
    <w:rsid w:val="001D4A9A"/>
    <w:rsid w:val="001D5D64"/>
    <w:rsid w:val="00241545"/>
    <w:rsid w:val="00323B43"/>
    <w:rsid w:val="003D37D8"/>
    <w:rsid w:val="00426133"/>
    <w:rsid w:val="004358AB"/>
    <w:rsid w:val="005E7353"/>
    <w:rsid w:val="007B0923"/>
    <w:rsid w:val="008030E5"/>
    <w:rsid w:val="008752FC"/>
    <w:rsid w:val="008B7726"/>
    <w:rsid w:val="009112BB"/>
    <w:rsid w:val="00B711D5"/>
    <w:rsid w:val="00D31D50"/>
    <w:rsid w:val="00D50F8B"/>
    <w:rsid w:val="00E44954"/>
    <w:rsid w:val="00E83126"/>
    <w:rsid w:val="00F431E6"/>
    <w:rsid w:val="00F5644B"/>
    <w:rsid w:val="00FD38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42B9A"/>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042B9A"/>
    <w:rPr>
      <w:rFonts w:ascii="Tahoma" w:hAnsi="Tahoma"/>
      <w:sz w:val="18"/>
      <w:szCs w:val="18"/>
    </w:rPr>
  </w:style>
  <w:style w:type="paragraph" w:styleId="a4">
    <w:name w:val="footer"/>
    <w:basedOn w:val="a"/>
    <w:link w:val="Char0"/>
    <w:uiPriority w:val="99"/>
    <w:semiHidden/>
    <w:unhideWhenUsed/>
    <w:rsid w:val="00042B9A"/>
    <w:pPr>
      <w:tabs>
        <w:tab w:val="center" w:pos="4153"/>
        <w:tab w:val="right" w:pos="8306"/>
      </w:tabs>
    </w:pPr>
    <w:rPr>
      <w:sz w:val="18"/>
      <w:szCs w:val="18"/>
    </w:rPr>
  </w:style>
  <w:style w:type="character" w:customStyle="1" w:styleId="Char0">
    <w:name w:val="页脚 Char"/>
    <w:basedOn w:val="a0"/>
    <w:link w:val="a4"/>
    <w:uiPriority w:val="99"/>
    <w:semiHidden/>
    <w:rsid w:val="00042B9A"/>
    <w:rPr>
      <w:rFonts w:ascii="Tahoma" w:hAnsi="Tahoma"/>
      <w:sz w:val="18"/>
      <w:szCs w:val="18"/>
    </w:rPr>
  </w:style>
  <w:style w:type="paragraph" w:styleId="a5">
    <w:name w:val="List Paragraph"/>
    <w:basedOn w:val="a"/>
    <w:uiPriority w:val="34"/>
    <w:qFormat/>
    <w:rsid w:val="00042B9A"/>
    <w:pPr>
      <w:ind w:firstLineChars="200" w:firstLine="420"/>
    </w:pPr>
  </w:style>
  <w:style w:type="paragraph" w:styleId="a6">
    <w:name w:val="Normal (Web)"/>
    <w:basedOn w:val="a"/>
    <w:uiPriority w:val="99"/>
    <w:semiHidden/>
    <w:unhideWhenUsed/>
    <w:rsid w:val="00E44954"/>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divs>
    <w:div w:id="1575430025">
      <w:bodyDiv w:val="1"/>
      <w:marLeft w:val="0"/>
      <w:marRight w:val="0"/>
      <w:marTop w:val="0"/>
      <w:marBottom w:val="0"/>
      <w:divBdr>
        <w:top w:val="none" w:sz="0" w:space="0" w:color="auto"/>
        <w:left w:val="none" w:sz="0" w:space="0" w:color="auto"/>
        <w:bottom w:val="none" w:sz="0" w:space="0" w:color="auto"/>
        <w:right w:val="none" w:sz="0" w:space="0" w:color="auto"/>
      </w:divBdr>
      <w:divsChild>
        <w:div w:id="272399163">
          <w:marLeft w:val="547"/>
          <w:marRight w:val="0"/>
          <w:marTop w:val="134"/>
          <w:marBottom w:val="0"/>
          <w:divBdr>
            <w:top w:val="none" w:sz="0" w:space="0" w:color="auto"/>
            <w:left w:val="none" w:sz="0" w:space="0" w:color="auto"/>
            <w:bottom w:val="none" w:sz="0" w:space="0" w:color="auto"/>
            <w:right w:val="none" w:sz="0" w:space="0" w:color="auto"/>
          </w:divBdr>
        </w:div>
        <w:div w:id="731318995">
          <w:marLeft w:val="547"/>
          <w:marRight w:val="0"/>
          <w:marTop w:val="134"/>
          <w:marBottom w:val="0"/>
          <w:divBdr>
            <w:top w:val="none" w:sz="0" w:space="0" w:color="auto"/>
            <w:left w:val="none" w:sz="0" w:space="0" w:color="auto"/>
            <w:bottom w:val="none" w:sz="0" w:space="0" w:color="auto"/>
            <w:right w:val="none" w:sz="0" w:space="0" w:color="auto"/>
          </w:divBdr>
        </w:div>
      </w:divsChild>
    </w:div>
    <w:div w:id="1783451517">
      <w:bodyDiv w:val="1"/>
      <w:marLeft w:val="0"/>
      <w:marRight w:val="0"/>
      <w:marTop w:val="0"/>
      <w:marBottom w:val="0"/>
      <w:divBdr>
        <w:top w:val="none" w:sz="0" w:space="0" w:color="auto"/>
        <w:left w:val="none" w:sz="0" w:space="0" w:color="auto"/>
        <w:bottom w:val="none" w:sz="0" w:space="0" w:color="auto"/>
        <w:right w:val="none" w:sz="0" w:space="0" w:color="auto"/>
      </w:divBdr>
      <w:divsChild>
        <w:div w:id="196238651">
          <w:marLeft w:val="547"/>
          <w:marRight w:val="0"/>
          <w:marTop w:val="134"/>
          <w:marBottom w:val="0"/>
          <w:divBdr>
            <w:top w:val="none" w:sz="0" w:space="0" w:color="auto"/>
            <w:left w:val="none" w:sz="0" w:space="0" w:color="auto"/>
            <w:bottom w:val="none" w:sz="0" w:space="0" w:color="auto"/>
            <w:right w:val="none" w:sz="0" w:space="0" w:color="auto"/>
          </w:divBdr>
        </w:div>
        <w:div w:id="952785133">
          <w:marLeft w:val="547"/>
          <w:marRight w:val="0"/>
          <w:marTop w:val="134"/>
          <w:marBottom w:val="0"/>
          <w:divBdr>
            <w:top w:val="none" w:sz="0" w:space="0" w:color="auto"/>
            <w:left w:val="none" w:sz="0" w:space="0" w:color="auto"/>
            <w:bottom w:val="none" w:sz="0" w:space="0" w:color="auto"/>
            <w:right w:val="none" w:sz="0" w:space="0" w:color="auto"/>
          </w:divBdr>
        </w:div>
        <w:div w:id="686173496">
          <w:marLeft w:val="547"/>
          <w:marRight w:val="0"/>
          <w:marTop w:val="134"/>
          <w:marBottom w:val="0"/>
          <w:divBdr>
            <w:top w:val="none" w:sz="0" w:space="0" w:color="auto"/>
            <w:left w:val="none" w:sz="0" w:space="0" w:color="auto"/>
            <w:bottom w:val="none" w:sz="0" w:space="0" w:color="auto"/>
            <w:right w:val="none" w:sz="0" w:space="0" w:color="auto"/>
          </w:divBdr>
        </w:div>
        <w:div w:id="1468627111">
          <w:marLeft w:val="547"/>
          <w:marRight w:val="0"/>
          <w:marTop w:val="134"/>
          <w:marBottom w:val="0"/>
          <w:divBdr>
            <w:top w:val="none" w:sz="0" w:space="0" w:color="auto"/>
            <w:left w:val="none" w:sz="0" w:space="0" w:color="auto"/>
            <w:bottom w:val="none" w:sz="0" w:space="0" w:color="auto"/>
            <w:right w:val="none" w:sz="0" w:space="0" w:color="auto"/>
          </w:divBdr>
        </w:div>
        <w:div w:id="1328635073">
          <w:marLeft w:val="547"/>
          <w:marRight w:val="0"/>
          <w:marTop w:val="134"/>
          <w:marBottom w:val="0"/>
          <w:divBdr>
            <w:top w:val="none" w:sz="0" w:space="0" w:color="auto"/>
            <w:left w:val="none" w:sz="0" w:space="0" w:color="auto"/>
            <w:bottom w:val="none" w:sz="0" w:space="0" w:color="auto"/>
            <w:right w:val="none" w:sz="0" w:space="0" w:color="auto"/>
          </w:divBdr>
        </w:div>
        <w:div w:id="1914120488">
          <w:marLeft w:val="547"/>
          <w:marRight w:val="0"/>
          <w:marTop w:val="134"/>
          <w:marBottom w:val="0"/>
          <w:divBdr>
            <w:top w:val="none" w:sz="0" w:space="0" w:color="auto"/>
            <w:left w:val="none" w:sz="0" w:space="0" w:color="auto"/>
            <w:bottom w:val="none" w:sz="0" w:space="0" w:color="auto"/>
            <w:right w:val="none" w:sz="0" w:space="0" w:color="auto"/>
          </w:divBdr>
        </w:div>
        <w:div w:id="71660239">
          <w:marLeft w:val="547"/>
          <w:marRight w:val="0"/>
          <w:marTop w:val="134"/>
          <w:marBottom w:val="0"/>
          <w:divBdr>
            <w:top w:val="none" w:sz="0" w:space="0" w:color="auto"/>
            <w:left w:val="none" w:sz="0" w:space="0" w:color="auto"/>
            <w:bottom w:val="none" w:sz="0" w:space="0" w:color="auto"/>
            <w:right w:val="none" w:sz="0" w:space="0" w:color="auto"/>
          </w:divBdr>
        </w:div>
        <w:div w:id="64986974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mbalib.com/wiki/%E5%8F%8C%E5%90%91%E6%B2%9F%E9%80%9A" TargetMode="External"/><Relationship Id="rId13" Type="http://schemas.openxmlformats.org/officeDocument/2006/relationships/hyperlink" Target="http://wiki.mbalib.com/w/index.php?title=%E6%A8%AA%E5%90%91%E8%AE%BF%E8%B0%88&amp;action=ed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iki.mbalib.com/wiki/%E5%AE%9A%E9%87%8F%E5%88%86%E6%9E%9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iki.mbalib.com/wiki/%E4%BB%B7%E5%80%BC%E8%A7%82" TargetMode="External"/><Relationship Id="rId5" Type="http://schemas.openxmlformats.org/officeDocument/2006/relationships/webSettings" Target="webSettings.xml"/><Relationship Id="rId15" Type="http://schemas.openxmlformats.org/officeDocument/2006/relationships/hyperlink" Target="http://wiki.mbalib.com/wiki/%E6%B7%B1%E5%BA%A6%E8%AE%BF%E8%B0%88" TargetMode="External"/><Relationship Id="rId10" Type="http://schemas.openxmlformats.org/officeDocument/2006/relationships/hyperlink" Target="http://wiki.mbalib.com/wiki/%E4%BF%A1%E6%81%AF" TargetMode="External"/><Relationship Id="rId4" Type="http://schemas.openxmlformats.org/officeDocument/2006/relationships/settings" Target="settings.xml"/><Relationship Id="rId9" Type="http://schemas.openxmlformats.org/officeDocument/2006/relationships/hyperlink" Target="http://wiki.mbalib.com/wiki/%E5%8F%AF%E9%9D%A0%E6%80%A7" TargetMode="External"/><Relationship Id="rId14" Type="http://schemas.openxmlformats.org/officeDocument/2006/relationships/hyperlink" Target="http://wiki.mbalib.com/w/index.php?title=%E7%BA%B5%E5%90%91%E8%AE%BF%E8%B0%88&amp;action=edi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F01097C-7196-405B-AA3B-ACDC0CA6C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4</Pages>
  <Words>652</Words>
  <Characters>3720</Characters>
  <Application>Microsoft Office Word</Application>
  <DocSecurity>0</DocSecurity>
  <Lines>31</Lines>
  <Paragraphs>8</Paragraphs>
  <ScaleCrop>false</ScaleCrop>
  <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8</cp:revision>
  <dcterms:created xsi:type="dcterms:W3CDTF">2008-09-11T17:20:00Z</dcterms:created>
  <dcterms:modified xsi:type="dcterms:W3CDTF">2014-03-31T02:17:00Z</dcterms:modified>
</cp:coreProperties>
</file>